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CFA1" w14:textId="77777777" w:rsidR="0054688D" w:rsidRDefault="001C7C1C">
      <w:pPr>
        <w:pStyle w:val="Paragraphedeliste"/>
        <w:jc w:val="center"/>
        <w:rPr>
          <w:rFonts w:ascii="Arial" w:eastAsia="Times New Roman" w:hAnsi="Arial" w:cs="Arial"/>
          <w:bCs/>
          <w:i/>
          <w:iCs/>
          <w:lang w:eastAsia="fr-FR"/>
        </w:rPr>
      </w:pPr>
      <w:r>
        <w:rPr>
          <w:rFonts w:ascii="Arial" w:eastAsia="Times New Roman" w:hAnsi="Arial" w:cs="Arial"/>
          <w:bCs/>
          <w:i/>
          <w:iCs/>
          <w:lang w:eastAsia="fr-FR"/>
        </w:rPr>
        <w:t>CSE ordinaire du 27 mai 2021</w:t>
      </w:r>
    </w:p>
    <w:p w14:paraId="640C2861" w14:textId="77777777" w:rsidR="0054688D" w:rsidRDefault="001C7C1C">
      <w:pPr>
        <w:pStyle w:val="Paragraphedeliste"/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F2F2F2" w:themeFill="background1" w:themeFillShade="F2"/>
        <w:suppressAutoHyphens/>
        <w:spacing w:after="120" w:line="240" w:lineRule="auto"/>
        <w:ind w:left="0" w:right="-709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Déclaration suite à l’annonce de la suppression du service PMTO lors du CSE ordinaire du 30 mars 2021</w:t>
      </w:r>
    </w:p>
    <w:p w14:paraId="417609B9" w14:textId="117BCD4F" w:rsidR="0054688D" w:rsidRDefault="001C7C1C" w:rsidP="001C7C1C">
      <w:pPr>
        <w:pStyle w:val="Paragraphedeliste"/>
        <w:suppressAutoHyphens/>
        <w:spacing w:before="240" w:after="120" w:line="240" w:lineRule="auto"/>
        <w:ind w:left="0" w:right="-709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Lors du CSE ordinaire du 30 mars 2021, la direction du site Stellantis de Sochaux a annoncé la fin de l’activité de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PMTO, le service outillage qui concerne 67 salariés (passés d’équilibre à sensible lors de l’Observatoire des Métiers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), composés de 49 ouvriers, 17 Tam et 1 Cadre.</w:t>
      </w:r>
    </w:p>
    <w:p w14:paraId="685FDB0B" w14:textId="77777777" w:rsidR="0054688D" w:rsidRDefault="001C7C1C">
      <w:pPr>
        <w:pStyle w:val="Paragraphedeliste"/>
        <w:suppressAutoHyphens/>
        <w:spacing w:after="120" w:line="240" w:lineRule="auto"/>
        <w:ind w:left="0" w:right="-709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Cette annonce est justifiée par la direction par la baisse de charge de travail im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portante depuis des années et peu de rentabilité sur les pièces.</w:t>
      </w:r>
    </w:p>
    <w:p w14:paraId="406310DC" w14:textId="09E4F9E3" w:rsidR="0054688D" w:rsidRDefault="001C7C1C">
      <w:pPr>
        <w:pStyle w:val="Paragraphedeliste"/>
        <w:suppressAutoHyphens/>
        <w:spacing w:after="120" w:line="240" w:lineRule="auto"/>
        <w:ind w:left="0" w:right="-709"/>
        <w:contextualSpacing w:val="0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Les salariés concernés sont convoqués individuellement à une cellule de reclassement depuis le 6 avril. Les seules solutions proposées pour les salariés concernés, à savoir, plans de reconver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sions professionnels, 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>mutations sur V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>esoul et Mulhouse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,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passages de poste PRO à OP UEP,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mutations pour RD2 sont pour l’instant bloquées, mutation d’op sur poste TAM impossible, 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>départs dans le cadre du DAEC ne sont pas favorable aux salariés. Les conséq</w:t>
      </w:r>
      <w:r w:rsidRPr="001C7C1C">
        <w:rPr>
          <w:rFonts w:ascii="Arial" w:eastAsia="Times New Roman" w:hAnsi="Arial" w:cs="Arial"/>
          <w:bCs/>
          <w:sz w:val="24"/>
          <w:szCs w:val="24"/>
          <w:lang w:eastAsia="fr-FR"/>
        </w:rPr>
        <w:t>uences de ces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suppressions d’emplois peuvent induire des risques sérieux pour l’intégrité physique et morale des salariés face aux manques de perspectives pour leur avenir professionnels.</w:t>
      </w:r>
    </w:p>
    <w:p w14:paraId="338A95EC" w14:textId="77777777" w:rsidR="0054688D" w:rsidRDefault="001C7C1C">
      <w:pPr>
        <w:pStyle w:val="Paragraphedeliste"/>
        <w:suppressAutoHyphens/>
        <w:spacing w:after="120" w:line="240" w:lineRule="auto"/>
        <w:ind w:left="0" w:right="-709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Suite aux très fortes inquiétudes exprimées par de nombreux salariés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du secteur, conformément à l’article L.2315-27 du code du travail, les élus CGT au CSE ont demandé oralement lors du CSE ordinaire du 29 avril 2021 à ce qu’un CSE Extraordinaire est lieu, cette demande a été confirmée par écrit le 12 mai 2021 pour avoir d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es réponses à nos questions :</w:t>
      </w:r>
    </w:p>
    <w:p w14:paraId="66A65BF1" w14:textId="77777777" w:rsidR="0054688D" w:rsidRDefault="001C7C1C">
      <w:pPr>
        <w:pStyle w:val="Paragraphedeliste"/>
        <w:numPr>
          <w:ilvl w:val="0"/>
          <w:numId w:val="1"/>
        </w:numPr>
        <w:suppressAutoHyphens/>
        <w:spacing w:after="120" w:line="240" w:lineRule="auto"/>
        <w:ind w:right="-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Que vont devenir les 67 salariés concernés de l’entité PMTO suite au classement du métier en sensible ?</w:t>
      </w:r>
    </w:p>
    <w:p w14:paraId="17222B42" w14:textId="77777777" w:rsidR="0054688D" w:rsidRDefault="001C7C1C">
      <w:pPr>
        <w:pStyle w:val="Paragraphedeliste"/>
        <w:numPr>
          <w:ilvl w:val="0"/>
          <w:numId w:val="1"/>
        </w:numPr>
        <w:suppressAutoHyphens/>
        <w:spacing w:after="120" w:line="240" w:lineRule="auto"/>
        <w:ind w:right="-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De quelle manière la fin de l’activité va se passer ? Dans quels délais ?</w:t>
      </w:r>
    </w:p>
    <w:p w14:paraId="14E23C60" w14:textId="77777777" w:rsidR="0054688D" w:rsidRDefault="001C7C1C">
      <w:pPr>
        <w:pStyle w:val="Paragraphedeliste"/>
        <w:numPr>
          <w:ilvl w:val="0"/>
          <w:numId w:val="1"/>
        </w:numPr>
        <w:suppressAutoHyphens/>
        <w:spacing w:after="120" w:line="240" w:lineRule="auto"/>
        <w:ind w:right="-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Quelles solutions professionnelles durables ont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été proposées pour ces salariés ?</w:t>
      </w:r>
    </w:p>
    <w:p w14:paraId="4632E798" w14:textId="77777777" w:rsidR="0054688D" w:rsidRDefault="001C7C1C">
      <w:pPr>
        <w:pStyle w:val="Paragraphedeliste"/>
        <w:numPr>
          <w:ilvl w:val="0"/>
          <w:numId w:val="1"/>
        </w:numPr>
        <w:suppressAutoHyphens/>
        <w:spacing w:after="120" w:line="240" w:lineRule="auto"/>
        <w:ind w:right="-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Combien de reclassement sont déjà en cours et combien y’en restent-ils ?</w:t>
      </w:r>
    </w:p>
    <w:p w14:paraId="29EB9F51" w14:textId="77777777" w:rsidR="0054688D" w:rsidRDefault="001C7C1C">
      <w:pPr>
        <w:suppressAutoHyphens/>
        <w:spacing w:after="120" w:line="240" w:lineRule="auto"/>
        <w:ind w:right="-709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La direction prétend que ces décisions s’imposent à elle. La CGT considère au contraire qu’elles découlent des choix de Carlos TAVARES mettant en pla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ce successivement les accords de compétitivités depuis 2014.</w:t>
      </w:r>
    </w:p>
    <w:p w14:paraId="4F4BABE2" w14:textId="77777777" w:rsidR="0054688D" w:rsidRDefault="001C7C1C">
      <w:pPr>
        <w:pStyle w:val="Paragraphedeliste"/>
        <w:suppressAutoHyphens/>
        <w:spacing w:after="120" w:line="240" w:lineRule="auto"/>
        <w:ind w:left="0" w:right="-709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De l’argent, l’entreprise sait en trouver la rémunération des dirigeants du groupe :</w:t>
      </w:r>
    </w:p>
    <w:p w14:paraId="250DE58E" w14:textId="77777777" w:rsidR="0054688D" w:rsidRDefault="001C7C1C" w:rsidP="001C7C1C">
      <w:pPr>
        <w:pStyle w:val="Paragraphedeliste"/>
        <w:numPr>
          <w:ilvl w:val="0"/>
          <w:numId w:val="2"/>
        </w:numPr>
        <w:suppressAutoHyphens/>
        <w:spacing w:after="120" w:line="240" w:lineRule="auto"/>
        <w:ind w:left="714" w:right="-709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Lors du mariage entre PSA et FCA, le 8 mars 2021, les actionnaires ont décidés de se partager plus de 2,2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milliards d’euros d’actions Faurecia avec un bonus de 308 millions d’euros pour sceller leur union.</w:t>
      </w:r>
    </w:p>
    <w:p w14:paraId="212C3402" w14:textId="77777777" w:rsidR="0054688D" w:rsidRPr="001C7C1C" w:rsidRDefault="001C7C1C">
      <w:pPr>
        <w:pStyle w:val="Paragraphedeliste"/>
        <w:suppressAutoHyphens/>
        <w:spacing w:after="120" w:line="240" w:lineRule="auto"/>
        <w:ind w:left="0" w:right="-709"/>
        <w:contextualSpacing w:val="0"/>
        <w:jc w:val="center"/>
        <w:rPr>
          <w:rFonts w:ascii="Arial" w:eastAsia="Times New Roman" w:hAnsi="Arial" w:cs="Arial"/>
          <w:b/>
          <w:spacing w:val="-8"/>
          <w:sz w:val="28"/>
          <w:szCs w:val="28"/>
          <w:lang w:eastAsia="fr-FR"/>
        </w:rPr>
      </w:pPr>
      <w:r w:rsidRPr="001C7C1C">
        <w:rPr>
          <w:rFonts w:ascii="Arial" w:eastAsia="Times New Roman" w:hAnsi="Arial" w:cs="Arial"/>
          <w:b/>
          <w:spacing w:val="-8"/>
          <w:sz w:val="28"/>
          <w:szCs w:val="28"/>
          <w:lang w:eastAsia="fr-FR"/>
        </w:rPr>
        <w:t>Cette annonce a été accompagnée de l’objectif de faire 5 milliards d’euros d’économie par an !</w:t>
      </w:r>
    </w:p>
    <w:p w14:paraId="37D3E5C7" w14:textId="77777777" w:rsidR="0054688D" w:rsidRDefault="001C7C1C" w:rsidP="001C7C1C">
      <w:pPr>
        <w:pStyle w:val="Paragraphedeliste"/>
        <w:numPr>
          <w:ilvl w:val="0"/>
          <w:numId w:val="2"/>
        </w:numPr>
        <w:suppressAutoHyphens/>
        <w:spacing w:after="120" w:line="240" w:lineRule="auto"/>
        <w:ind w:left="714" w:right="-709" w:hanging="357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Le 15 avril 2021, les actionnaires de Stellantis, ont décidé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de s’attribuer un nouveau dividende exceptionnel de 1 milliard d’euro ! Cela équivaut au salaire de 40 000 salariés payés 25 000 net par an !</w:t>
      </w:r>
    </w:p>
    <w:p w14:paraId="5722CDD8" w14:textId="77777777" w:rsidR="0054688D" w:rsidRDefault="001C7C1C">
      <w:pPr>
        <w:pStyle w:val="Paragraphedeliste"/>
        <w:suppressAutoHyphens/>
        <w:spacing w:after="120" w:line="240" w:lineRule="auto"/>
        <w:ind w:left="0" w:right="-709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La suppression du service outillage de PMTO et les suppressions d’emplois qui l’accompagnent, font partie des nomb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reuses suppressions d’emplois déjà effectives et à venir, dans tous les secteurs du site,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les salariés font les frais de la course aux profits de Stellantis !</w:t>
      </w:r>
    </w:p>
    <w:p w14:paraId="6D3FCD67" w14:textId="77777777" w:rsidR="0054688D" w:rsidRPr="001C7C1C" w:rsidRDefault="001C7C1C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pacing w:after="120" w:line="240" w:lineRule="auto"/>
        <w:ind w:right="-709" w:firstLine="284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</w:pPr>
      <w:r w:rsidRPr="001C7C1C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La CGT ne cautionne pas la fermeture du service PMTO et des suppressions d’emploi qui l’accompagn</w:t>
      </w:r>
      <w:r w:rsidRPr="001C7C1C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ent, au contraire d’autres solutions sont possibles, les élus CGT au CSE réclament :</w:t>
      </w:r>
    </w:p>
    <w:p w14:paraId="43B7E4E0" w14:textId="77777777" w:rsidR="0054688D" w:rsidRPr="001C7C1C" w:rsidRDefault="001C7C1C">
      <w:pPr>
        <w:pStyle w:val="Paragraphedeliste"/>
        <w:numPr>
          <w:ilvl w:val="0"/>
          <w:numId w:val="3"/>
        </w:num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pacing w:after="240"/>
        <w:ind w:left="0" w:right="-709"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1C7C1C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Le maintien de tous les emplois du service pour chacun des 67 salariés concernés,</w:t>
      </w:r>
    </w:p>
    <w:p w14:paraId="00D433FB" w14:textId="77777777" w:rsidR="0054688D" w:rsidRPr="001C7C1C" w:rsidRDefault="001C7C1C">
      <w:pPr>
        <w:pStyle w:val="Paragraphedeliste"/>
        <w:numPr>
          <w:ilvl w:val="0"/>
          <w:numId w:val="3"/>
        </w:num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pacing w:after="240"/>
        <w:ind w:left="0" w:right="-709" w:firstLine="284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1C7C1C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Le maintien des métiers sur le site de Sochaux.</w:t>
      </w:r>
    </w:p>
    <w:p w14:paraId="67DAC60D" w14:textId="77777777" w:rsidR="0054688D" w:rsidRDefault="001C7C1C">
      <w:pPr>
        <w:ind w:right="-709"/>
        <w:contextualSpacing/>
        <w:jc w:val="right"/>
        <w:rPr>
          <w:rFonts w:ascii="Arial" w:eastAsia="Times New Roman" w:hAnsi="Arial" w:cs="Arial"/>
          <w:bCs/>
          <w:i/>
          <w:iCs/>
          <w:lang w:eastAsia="fr-FR"/>
        </w:rPr>
      </w:pPr>
      <w:r>
        <w:rPr>
          <w:rFonts w:ascii="Arial" w:eastAsia="Times New Roman" w:hAnsi="Arial" w:cs="Arial"/>
          <w:bCs/>
          <w:i/>
          <w:iCs/>
          <w:lang w:eastAsia="fr-FR"/>
        </w:rPr>
        <w:t>A Sochaux,</w:t>
      </w:r>
    </w:p>
    <w:p w14:paraId="4EECBE75" w14:textId="77777777" w:rsidR="0054688D" w:rsidRDefault="001C7C1C">
      <w:pPr>
        <w:ind w:right="-709"/>
        <w:contextualSpacing/>
        <w:jc w:val="right"/>
      </w:pPr>
      <w:r>
        <w:rPr>
          <w:rFonts w:ascii="Arial" w:eastAsia="Times New Roman" w:hAnsi="Arial" w:cs="Arial"/>
          <w:bCs/>
          <w:i/>
          <w:iCs/>
          <w:lang w:eastAsia="fr-FR"/>
        </w:rPr>
        <w:t>Le 27 mai 2021</w:t>
      </w:r>
    </w:p>
    <w:sectPr w:rsidR="0054688D">
      <w:pgSz w:w="11906" w:h="16838"/>
      <w:pgMar w:top="284" w:right="1417" w:bottom="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0E81"/>
    <w:multiLevelType w:val="multilevel"/>
    <w:tmpl w:val="2A207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EB4E38"/>
    <w:multiLevelType w:val="multilevel"/>
    <w:tmpl w:val="ECBEC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F75439"/>
    <w:multiLevelType w:val="multilevel"/>
    <w:tmpl w:val="C240AF7C"/>
    <w:lvl w:ilvl="0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cs="Segoe UI Symbol" w:hint="default"/>
        <w:b/>
        <w:i w:val="0"/>
        <w:color w:val="FF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751312"/>
    <w:multiLevelType w:val="multilevel"/>
    <w:tmpl w:val="A49A5A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8D"/>
    <w:rsid w:val="001C7C1C"/>
    <w:rsid w:val="005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676"/>
  <w15:docId w15:val="{F3BC5C20-B7EB-453A-B6B1-7BA78977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"/>
      <w:b/>
      <w:bCs/>
      <w:color w:val="auto"/>
      <w:sz w:val="22"/>
      <w:szCs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i w:val="0"/>
      <w:color w:val="FF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/>
      <w:b/>
      <w:i w:val="0"/>
      <w:color w:val="FF000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Arial" w:hAnsi="Aria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/>
      <w:b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46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dc:description/>
  <cp:lastModifiedBy>AURORE BOUSSARD</cp:lastModifiedBy>
  <cp:revision>2</cp:revision>
  <dcterms:created xsi:type="dcterms:W3CDTF">2021-05-26T07:39:00Z</dcterms:created>
  <dcterms:modified xsi:type="dcterms:W3CDTF">2021-05-26T07:39:00Z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2fd53d93-3f4c-4b90-b511-bd6bdbb4fba9_ActionId">
    <vt:lpwstr>9fe5ceb5-b8eb-4e15-a593-8e215cd7a64d</vt:lpwstr>
  </property>
  <property fmtid="{D5CDD505-2E9C-101B-9397-08002B2CF9AE}" pid="7" name="MSIP_Label_2fd53d93-3f4c-4b90-b511-bd6bdbb4fba9_ContentBits">
    <vt:lpwstr>0</vt:lpwstr>
  </property>
  <property fmtid="{D5CDD505-2E9C-101B-9397-08002B2CF9AE}" pid="8" name="MSIP_Label_2fd53d93-3f4c-4b90-b511-bd6bdbb4fba9_Enabled">
    <vt:lpwstr>true</vt:lpwstr>
  </property>
  <property fmtid="{D5CDD505-2E9C-101B-9397-08002B2CF9AE}" pid="9" name="MSIP_Label_2fd53d93-3f4c-4b90-b511-bd6bdbb4fba9_Method">
    <vt:lpwstr>Standard</vt:lpwstr>
  </property>
  <property fmtid="{D5CDD505-2E9C-101B-9397-08002B2CF9AE}" pid="10" name="MSIP_Label_2fd53d93-3f4c-4b90-b511-bd6bdbb4fba9_Name">
    <vt:lpwstr>2fd53d93-3f4c-4b90-b511-bd6bdbb4fba9</vt:lpwstr>
  </property>
  <property fmtid="{D5CDD505-2E9C-101B-9397-08002B2CF9AE}" pid="11" name="MSIP_Label_2fd53d93-3f4c-4b90-b511-bd6bdbb4fba9_SetDate">
    <vt:lpwstr>2021-04-13T13:02:21Z</vt:lpwstr>
  </property>
  <property fmtid="{D5CDD505-2E9C-101B-9397-08002B2CF9AE}" pid="12" name="MSIP_Label_2fd53d93-3f4c-4b90-b511-bd6bdbb4fba9_SiteId">
    <vt:lpwstr>d852d5cd-724c-4128-8812-ffa5db3f8507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